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FB7D32" w:rsidRDefault="009437C2" w:rsidP="00FB7D32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</w:t>
      </w:r>
      <w:r w:rsidR="007C4DEC">
        <w:rPr>
          <w:b/>
          <w:color w:val="0000FF"/>
        </w:rPr>
        <w:t>28 ноября</w:t>
      </w:r>
      <w:r w:rsidR="00C36116" w:rsidRPr="00AC1F57">
        <w:rPr>
          <w:b/>
          <w:color w:val="0000FF"/>
        </w:rPr>
        <w:t xml:space="preserve"> 2022 года</w:t>
      </w:r>
    </w:p>
    <w:p w:rsidR="007C4DEC" w:rsidRPr="007C4DEC" w:rsidRDefault="007C4DEC" w:rsidP="007C4DEC">
      <w:pPr>
        <w:ind w:firstLine="708"/>
        <w:jc w:val="both"/>
        <w:rPr>
          <w:b/>
          <w:color w:val="0000FF"/>
        </w:rPr>
      </w:pPr>
      <w:r w:rsidRPr="007C4DEC">
        <w:rPr>
          <w:b/>
          <w:color w:val="0000FF"/>
        </w:rPr>
        <w:t xml:space="preserve">ОПФР по Томской области предостерегает владельцев сертификатов МСК от попытки </w:t>
      </w:r>
      <w:proofErr w:type="spellStart"/>
      <w:r w:rsidRPr="007C4DEC">
        <w:rPr>
          <w:b/>
          <w:color w:val="0000FF"/>
        </w:rPr>
        <w:t>обналичивания</w:t>
      </w:r>
      <w:proofErr w:type="spellEnd"/>
      <w:r w:rsidRPr="007C4DEC">
        <w:rPr>
          <w:b/>
          <w:color w:val="0000FF"/>
        </w:rPr>
        <w:t xml:space="preserve"> средств</w:t>
      </w:r>
    </w:p>
    <w:p w:rsidR="007C4DEC" w:rsidRDefault="007C4DEC" w:rsidP="007C4DEC">
      <w:pPr>
        <w:ind w:firstLine="708"/>
        <w:jc w:val="both"/>
      </w:pPr>
      <w:r w:rsidRPr="007C4DEC">
        <w:rPr>
          <w:i/>
          <w:iCs/>
        </w:rPr>
        <w:t xml:space="preserve">В Томской области за 9 месяцев 2022 года возбуждено 125 уголовных дел в отношении владельцев </w:t>
      </w:r>
      <w:proofErr w:type="gramStart"/>
      <w:r w:rsidRPr="007C4DEC">
        <w:rPr>
          <w:i/>
          <w:iCs/>
        </w:rPr>
        <w:t>сертификатов  МСК</w:t>
      </w:r>
      <w:proofErr w:type="gramEnd"/>
      <w:r w:rsidRPr="007C4DEC">
        <w:rPr>
          <w:i/>
          <w:iCs/>
        </w:rPr>
        <w:t xml:space="preserve"> за "</w:t>
      </w:r>
      <w:proofErr w:type="spellStart"/>
      <w:r w:rsidRPr="007C4DEC">
        <w:rPr>
          <w:i/>
          <w:iCs/>
        </w:rPr>
        <w:t>обналичивание</w:t>
      </w:r>
      <w:proofErr w:type="spellEnd"/>
      <w:r w:rsidRPr="007C4DEC">
        <w:rPr>
          <w:i/>
          <w:iCs/>
        </w:rPr>
        <w:t>" средств материнского капитала.</w:t>
      </w:r>
    </w:p>
    <w:p w:rsidR="007C4DEC" w:rsidRDefault="007C4DEC" w:rsidP="007C4DEC">
      <w:pPr>
        <w:ind w:firstLine="708"/>
        <w:jc w:val="both"/>
      </w:pPr>
      <w:r>
        <w:t xml:space="preserve">Отделение ПФР по Томской области напоминает, что использование материнского капитала может быть только целевым. Однако некоторые граждане пытаются любыми способами, в том числе незаконными, обмануть государство. Например, одной из схем </w:t>
      </w:r>
      <w:proofErr w:type="spellStart"/>
      <w:r>
        <w:t>обналичивания</w:t>
      </w:r>
      <w:proofErr w:type="spellEnd"/>
      <w:r>
        <w:t xml:space="preserve"> сертификата является оформление мнимых сделок и фиктивных договоров между близкими родственниками, то есть покупка своей же квартиры. Либо приобретение непригодного жилья, реальная стоимость которого в разы меньше размера получаемого пособия. Оформляется сделка, но в договор купли-продажи вписывается завышенная цена.</w:t>
      </w:r>
    </w:p>
    <w:p w:rsidR="007C4DEC" w:rsidRDefault="007C4DEC" w:rsidP="007C4DEC">
      <w:pPr>
        <w:ind w:firstLine="708"/>
        <w:jc w:val="both"/>
      </w:pPr>
      <w:r>
        <w:t>Стоит отметить, что и добропорядочные граждане могут попасть в неприятную ситуацию из-за правовой неосведомленности. Закон прямо предписывает: если на покупку жилья тратится материнский капитал, доли в недвижимости должны получить все члены семьи — и родители, и дети.</w:t>
      </w:r>
    </w:p>
    <w:p w:rsidR="007C4DEC" w:rsidRDefault="007C4DEC" w:rsidP="007C4DEC">
      <w:pPr>
        <w:ind w:firstLine="708"/>
        <w:jc w:val="both"/>
      </w:pPr>
      <w:r w:rsidRPr="007C4DEC">
        <w:rPr>
          <w:i/>
          <w:iCs/>
        </w:rPr>
        <w:t xml:space="preserve">- Материнский капитал можно потратить только на цели, которые установлены законодательством. Это улучшение жилищных условий (покупка, строительство, реконструкция жилья), ежемесячные выплаты при рождении второго ребенка, образование детей (как в высших, средних профессиональных учреждениях, так и оплата содержания детей в детских садах), приобретение товаров и услуг для социальной адаптации детей-инвалидов и накопительной пенсии матери. При чем целей может быть и несколько, тогда сумма выплат будет распределена на них, </w:t>
      </w:r>
      <w:r w:rsidRPr="007C4DEC">
        <w:rPr>
          <w:b/>
          <w:bCs/>
        </w:rPr>
        <w:t xml:space="preserve">- отметила заместитель управляющего Отделения ПФР по Томской области Ольга Николаевна Петрухина. </w:t>
      </w:r>
      <w:r>
        <w:t> </w:t>
      </w:r>
    </w:p>
    <w:p w:rsidR="007C4DEC" w:rsidRDefault="007C4DEC" w:rsidP="007C4DEC">
      <w:pPr>
        <w:ind w:firstLine="708"/>
        <w:jc w:val="both"/>
      </w:pPr>
      <w:r>
        <w:t xml:space="preserve">Для исключения злоупотреблений в перечень организаций, чьи займы можно оплачивать материнским капиталом, постоянно вносятся изменения. Так, ранее были исключены организации, неподконтрольные Центральному банку, это ООО, ОАО и т.д. Обычно такие организации предоставляли жилищные займы по более высокой процентной ставке, что увеличивало расходы семей, кроме того в этих организациях выявлялись факты нарушений при выдаче займов по </w:t>
      </w:r>
      <w:proofErr w:type="spellStart"/>
      <w:r>
        <w:t>маткапиталу</w:t>
      </w:r>
      <w:proofErr w:type="spellEnd"/>
      <w:r>
        <w:t xml:space="preserve">. Сейчас в этот перечень входят только кредитные организации, кредитные потребительски кооперативы, подконтрольные Центробанку, а также </w:t>
      </w:r>
      <w:proofErr w:type="spellStart"/>
      <w:r>
        <w:t>Росвоенипотека</w:t>
      </w:r>
      <w:proofErr w:type="spellEnd"/>
      <w:r>
        <w:t>, АО «ДОМ.РФ» и уполномоченные им организации.</w:t>
      </w:r>
    </w:p>
    <w:p w:rsidR="007C4DEC" w:rsidRDefault="007C4DEC" w:rsidP="007C4DEC">
      <w:pPr>
        <w:ind w:firstLine="708"/>
        <w:jc w:val="both"/>
      </w:pPr>
      <w:r>
        <w:t>Кроме того, для исключения злоупотреблений и приобретения жилья, не пригодного для проживания, законодательно закреплено, что каждое жилое помещение, которое планируется приобрести за счет МСК, в обязательном порядке проверяется на наличие информации о признании его непригодным для проживания, или аварийным. Если поступает информация, что жилье не пригодно для проживания или дом признан аварийным, заявителю будет отказано.</w:t>
      </w:r>
    </w:p>
    <w:p w:rsidR="007C4DEC" w:rsidRDefault="007C4DEC" w:rsidP="007C4DEC">
      <w:pPr>
        <w:ind w:firstLine="708"/>
        <w:jc w:val="both"/>
      </w:pPr>
      <w:r>
        <w:t xml:space="preserve">Попытки обналичить материнский капитал влекут за собой такие последствия как: уголовная ответственность - так как это нарушение закона, статья о мошенничестве. Утрата права в дальнейшем на материнский (семейный) капитал, то есть наказывается вся семья, в том числе и дети. Важно, что ответственность несут не только те лица, </w:t>
      </w:r>
      <w:r>
        <w:lastRenderedPageBreak/>
        <w:t>которые предлагают подобные сделки, но и сами владельцы сертификата. И даже если граждане прибегают к мошенническим схемам, развитие в том числе межведомственного взаимодействия дает возможность выявлять нецелевое использование средств.</w:t>
      </w:r>
    </w:p>
    <w:p w:rsidR="007C4DEC" w:rsidRDefault="007C4DEC" w:rsidP="007C4DEC">
      <w:pPr>
        <w:ind w:firstLine="708"/>
        <w:jc w:val="both"/>
      </w:pPr>
      <w:r>
        <w:t>Факт участия в мошеннических схемах, направленных на «</w:t>
      </w:r>
      <w:proofErr w:type="spellStart"/>
      <w:r>
        <w:t>обналичивание</w:t>
      </w:r>
      <w:proofErr w:type="spellEnd"/>
      <w:r>
        <w:t>» материнского капитала, может быть выявлен в любое время после распоряжения средствами. Семья может остаться и без жилья, и без материнского капитала, который заставят вернуть в бюджет в полном объеме.</w:t>
      </w:r>
    </w:p>
    <w:p w:rsidR="007C4DEC" w:rsidRDefault="007C4DEC" w:rsidP="007C4DEC">
      <w:pPr>
        <w:ind w:firstLine="708"/>
        <w:jc w:val="both"/>
      </w:pPr>
      <w:r>
        <w:t xml:space="preserve">В Томской области за 9 месяцев 2022 года возбуждено 125 уголовных дел в отношении владельцев </w:t>
      </w:r>
      <w:proofErr w:type="gramStart"/>
      <w:r>
        <w:t>сертификатов  МСК</w:t>
      </w:r>
      <w:proofErr w:type="gramEnd"/>
      <w:r>
        <w:t xml:space="preserve"> за "</w:t>
      </w:r>
      <w:proofErr w:type="spellStart"/>
      <w:r>
        <w:t>обналичивание</w:t>
      </w:r>
      <w:proofErr w:type="spellEnd"/>
      <w:r>
        <w:t>" средств материнского капитала.</w:t>
      </w:r>
    </w:p>
    <w:p w:rsidR="00E01CB4" w:rsidRDefault="00E01CB4" w:rsidP="00FB7D32">
      <w:pPr>
        <w:jc w:val="both"/>
        <w:rPr>
          <w:b/>
          <w:color w:val="0000FF"/>
        </w:rPr>
      </w:pPr>
    </w:p>
    <w:p w:rsidR="000A5078" w:rsidRDefault="000A5078" w:rsidP="00A61E9C">
      <w:pPr>
        <w:ind w:firstLine="708"/>
        <w:jc w:val="both"/>
      </w:pPr>
      <w:bookmarkStart w:id="0" w:name="_GoBack"/>
      <w:bookmarkEnd w:id="0"/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C4DEC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67BFA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B757978C-B804-4208-87E9-232E1547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A336-BE0D-40F3-97E1-A9E86EAC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10</cp:revision>
  <cp:lastPrinted>2022-02-17T01:49:00Z</cp:lastPrinted>
  <dcterms:created xsi:type="dcterms:W3CDTF">2022-09-09T05:37:00Z</dcterms:created>
  <dcterms:modified xsi:type="dcterms:W3CDTF">2022-12-06T02:03:00Z</dcterms:modified>
</cp:coreProperties>
</file>